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042B7" w14:textId="77777777" w:rsidR="00CF225C" w:rsidRDefault="0036675B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  <w:sz w:val="18"/>
          <w:szCs w:val="18"/>
        </w:rPr>
        <w:t>6</w:t>
      </w:r>
    </w:p>
    <w:p w14:paraId="590C499C" w14:textId="77777777" w:rsidR="00CF225C" w:rsidRDefault="0036675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4770CB6D" w14:textId="77777777" w:rsidR="00CF225C" w:rsidRDefault="00CF225C">
      <w:pPr>
        <w:spacing w:line="276" w:lineRule="auto"/>
        <w:jc w:val="both"/>
        <w:rPr>
          <w:rFonts w:asciiTheme="minorHAnsi" w:hAnsiTheme="minorHAnsi" w:cstheme="minorHAnsi"/>
        </w:rPr>
      </w:pPr>
    </w:p>
    <w:p w14:paraId="4D38E1B3" w14:textId="77777777" w:rsidR="00CF225C" w:rsidRDefault="0036675B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1A376659" w14:textId="77777777" w:rsidR="00CF225C" w:rsidRDefault="00CF225C">
      <w:pPr>
        <w:spacing w:line="276" w:lineRule="auto"/>
        <w:jc w:val="both"/>
        <w:rPr>
          <w:rFonts w:asciiTheme="minorHAnsi" w:hAnsiTheme="minorHAnsi" w:cstheme="minorHAnsi"/>
        </w:rPr>
      </w:pPr>
    </w:p>
    <w:p w14:paraId="5A5E2166" w14:textId="77777777" w:rsidR="00CF225C" w:rsidRDefault="0036675B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IZJAVA O IZPOLNJEVANJU KADROVSKIH IN TEHNIČNIH POGOJEV</w:t>
      </w:r>
    </w:p>
    <w:p w14:paraId="68342151" w14:textId="77777777" w:rsidR="00CF225C" w:rsidRDefault="00CF225C">
      <w:pPr>
        <w:spacing w:line="276" w:lineRule="auto"/>
        <w:rPr>
          <w:rFonts w:asciiTheme="minorHAnsi" w:hAnsiTheme="minorHAnsi" w:cstheme="minorHAnsi"/>
          <w:iCs/>
          <w:szCs w:val="18"/>
        </w:rPr>
      </w:pPr>
    </w:p>
    <w:p w14:paraId="32EF0368" w14:textId="77777777" w:rsidR="00CF225C" w:rsidRDefault="0036675B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Pod kazensko in materialno odgovornostjo izjavljamo: </w:t>
      </w:r>
    </w:p>
    <w:p w14:paraId="1662849A" w14:textId="77777777" w:rsidR="00CF225C" w:rsidRDefault="00CF225C">
      <w:pPr>
        <w:spacing w:line="276" w:lineRule="auto"/>
        <w:jc w:val="both"/>
        <w:rPr>
          <w:rFonts w:asciiTheme="minorHAnsi" w:hAnsiTheme="minorHAnsi" w:cstheme="minorHAnsi"/>
          <w:iCs/>
          <w:sz w:val="18"/>
          <w:szCs w:val="18"/>
        </w:rPr>
      </w:pPr>
    </w:p>
    <w:p w14:paraId="5C85B6ED" w14:textId="77777777" w:rsidR="00CF225C" w:rsidRDefault="0036675B">
      <w:pPr>
        <w:pStyle w:val="ListParagraph"/>
        <w:numPr>
          <w:ilvl w:val="0"/>
          <w:numId w:val="2"/>
        </w:numPr>
        <w:spacing w:line="276" w:lineRule="auto"/>
        <w:ind w:left="425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 bomo zagotovili ustrezne tehnične in kadrovske zmogljivosti za kvalitetno izvedbo celotnega naročila v predvidenem roku, v skladu z zahtevami iz dokumentacije v zvezi z oddajo javnega naročila, prav</w:t>
      </w:r>
      <w:r>
        <w:rPr>
          <w:rFonts w:asciiTheme="minorHAnsi" w:hAnsiTheme="minorHAnsi" w:cstheme="minorHAnsi"/>
        </w:rPr>
        <w:t>ili stroke ter določili predpisov in standardov s področja predmeta naročila.</w:t>
      </w:r>
    </w:p>
    <w:p w14:paraId="10C777AB" w14:textId="77777777" w:rsidR="00CF225C" w:rsidRDefault="00CF225C">
      <w:pPr>
        <w:pStyle w:val="ListParagraph"/>
        <w:spacing w:line="276" w:lineRule="auto"/>
        <w:ind w:left="425"/>
        <w:jc w:val="both"/>
        <w:rPr>
          <w:rFonts w:asciiTheme="minorHAnsi" w:hAnsiTheme="minorHAnsi" w:cstheme="minorHAnsi"/>
        </w:rPr>
      </w:pPr>
    </w:p>
    <w:p w14:paraId="4F469F3B" w14:textId="77777777" w:rsidR="00CF225C" w:rsidRDefault="0036675B">
      <w:pPr>
        <w:pStyle w:val="ListParagraph"/>
        <w:numPr>
          <w:ilvl w:val="0"/>
          <w:numId w:val="2"/>
        </w:numPr>
        <w:spacing w:line="276" w:lineRule="auto"/>
        <w:ind w:left="425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 bomo ves čas trajanja pogodbe o izvedbi javnega naročila ter celoten čas trajanja garancijskega obdobja, zagotavljali servis in vzdrževanje predmeta javnega naročila ter z nj</w:t>
      </w:r>
      <w:r>
        <w:rPr>
          <w:rFonts w:asciiTheme="minorHAnsi" w:hAnsiTheme="minorHAnsi" w:cstheme="minorHAnsi"/>
        </w:rPr>
        <w:t>im povezane strojne in programske opreme ter nemoteno preskrbo z originalnimi rezervnimi deli za predmet javnega naročila.</w:t>
      </w:r>
    </w:p>
    <w:p w14:paraId="6357788B" w14:textId="77777777" w:rsidR="00CF225C" w:rsidRDefault="00CF225C">
      <w:pPr>
        <w:pStyle w:val="ListParagraph"/>
        <w:spacing w:line="276" w:lineRule="auto"/>
        <w:rPr>
          <w:rFonts w:asciiTheme="minorHAnsi" w:hAnsiTheme="minorHAnsi" w:cstheme="minorHAnsi"/>
        </w:rPr>
      </w:pPr>
    </w:p>
    <w:p w14:paraId="2DB84BBB" w14:textId="77777777" w:rsidR="00CF225C" w:rsidRDefault="0036675B">
      <w:pPr>
        <w:pStyle w:val="ListParagraph"/>
        <w:numPr>
          <w:ilvl w:val="0"/>
          <w:numId w:val="2"/>
        </w:numPr>
        <w:spacing w:line="276" w:lineRule="auto"/>
        <w:ind w:left="425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 imamo vzpostavljena poslovna razmerja s proizvajalci opreme predmeta javnega naročila, ki nam zagotavljajo kvalitetno izvedbo pre</w:t>
      </w:r>
      <w:r>
        <w:rPr>
          <w:rFonts w:asciiTheme="minorHAnsi" w:hAnsiTheme="minorHAnsi" w:cstheme="minorHAnsi"/>
        </w:rPr>
        <w:t>dmeta javnega naročila, in sicer mora imamo:</w:t>
      </w:r>
    </w:p>
    <w:p w14:paraId="123E199B" w14:textId="77777777" w:rsidR="00CF225C" w:rsidRDefault="0036675B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proizvajalčevo podporo za prodajo ponujene tehnologije oz. opreme vključno s pogoji dobave, jamstvi in garancijskimi pogoji;</w:t>
      </w:r>
    </w:p>
    <w:p w14:paraId="73690C86" w14:textId="77777777" w:rsidR="00CF225C" w:rsidRDefault="0036675B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 času oddaje ponudbe ter ves čas trajanja pogodbe o izvedbi javnega naročila in traja</w:t>
      </w:r>
      <w:r>
        <w:rPr>
          <w:rFonts w:asciiTheme="minorHAnsi" w:hAnsiTheme="minorHAnsi" w:cstheme="minorHAnsi"/>
        </w:rPr>
        <w:t>nja garancijskega obdobja, s strani proizvajalcev opreme, priznano ustrezno stopnjo usposobljenosti, ki nam omogoča kakovostno integracijo, vzdrževanje ter delovanje ponujene opreme pod pogoji iz vzorca pogodbe (odzivni časi, odprava napak, rok dobave, itd</w:t>
      </w:r>
      <w:r>
        <w:rPr>
          <w:rFonts w:asciiTheme="minorHAnsi" w:hAnsiTheme="minorHAnsi" w:cstheme="minorHAnsi"/>
        </w:rPr>
        <w:t>.);</w:t>
      </w:r>
    </w:p>
    <w:p w14:paraId="201259E2" w14:textId="77777777" w:rsidR="00CF225C" w:rsidRDefault="0036675B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proizvajalčevo podporo za servis ponujene tehnologije oz. opreme, vključno z oskrbo z rezervnimi deli </w:t>
      </w:r>
    </w:p>
    <w:p w14:paraId="7B0EE779" w14:textId="77777777" w:rsidR="00CF225C" w:rsidRDefault="0036675B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ter smo s strani proizvajalca opreme specializirani za konfiguracijo, prodajo in vzdrževanje opreme, ki je predmet javnega naročila.</w:t>
      </w:r>
    </w:p>
    <w:p w14:paraId="05D30BE4" w14:textId="77777777" w:rsidR="00CF225C" w:rsidRDefault="00CF225C">
      <w:pPr>
        <w:spacing w:line="276" w:lineRule="auto"/>
        <w:jc w:val="both"/>
        <w:rPr>
          <w:rFonts w:asciiTheme="minorHAnsi" w:hAnsiTheme="minorHAnsi" w:cstheme="minorHAnsi"/>
        </w:rPr>
      </w:pPr>
    </w:p>
    <w:p w14:paraId="0C7BD1EB" w14:textId="77777777" w:rsidR="00CF225C" w:rsidRDefault="0036675B">
      <w:pPr>
        <w:pStyle w:val="ListParagraph"/>
        <w:numPr>
          <w:ilvl w:val="0"/>
          <w:numId w:val="2"/>
        </w:numPr>
        <w:spacing w:line="276" w:lineRule="auto"/>
        <w:ind w:left="425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da:</w:t>
      </w:r>
    </w:p>
    <w:p w14:paraId="0530DEAB" w14:textId="77777777" w:rsidR="00CF225C" w:rsidRDefault="0036675B">
      <w:pPr>
        <w:pStyle w:val="ListParagraph"/>
        <w:numPr>
          <w:ilvl w:val="0"/>
          <w:numId w:val="4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ponujena oprema v celoti izpolnjuje minimalne tehnične zahteve in standarde iz poglavja 3;</w:t>
      </w:r>
    </w:p>
    <w:p w14:paraId="3EDB05BC" w14:textId="77777777" w:rsidR="00CF225C" w:rsidRDefault="0036675B">
      <w:pPr>
        <w:pStyle w:val="ListParagraph"/>
        <w:numPr>
          <w:ilvl w:val="0"/>
          <w:numId w:val="4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da je ponujena oprema nova, nerabljena in tehnološko sodobna;</w:t>
      </w:r>
    </w:p>
    <w:p w14:paraId="7377DF4D" w14:textId="77777777" w:rsidR="00CF225C" w:rsidRDefault="0036675B">
      <w:pPr>
        <w:pStyle w:val="ListParagraph"/>
        <w:numPr>
          <w:ilvl w:val="0"/>
          <w:numId w:val="4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 zagotovili dobavo opreme najkasneje v roku šestdeset (60) dni od dneva podpisa pogodbe DDP (Delive</w:t>
      </w:r>
      <w:r>
        <w:rPr>
          <w:rFonts w:asciiTheme="minorHAnsi" w:hAnsiTheme="minorHAnsi" w:cstheme="minorHAnsi"/>
        </w:rPr>
        <w:t>ry Duty Paid, Incoterms 2000) prostori naročnika razloženo in nameščeno, skupaj z dokumentacijo v slovenskem jeziku;</w:t>
      </w:r>
    </w:p>
    <w:p w14:paraId="58BE7D4A" w14:textId="1FE03B95" w:rsidR="00CF225C" w:rsidRDefault="0036675B">
      <w:pPr>
        <w:pStyle w:val="ListParagraph"/>
        <w:numPr>
          <w:ilvl w:val="0"/>
          <w:numId w:val="4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zagotavljamo garancijski rok za ponujeno opremo vsaj </w:t>
      </w:r>
      <w:r w:rsidR="003B7D5E">
        <w:rPr>
          <w:rFonts w:asciiTheme="minorHAnsi" w:hAnsiTheme="minorHAnsi" w:cstheme="minorHAnsi"/>
        </w:rPr>
        <w:t>dvanajst</w:t>
      </w:r>
      <w:r>
        <w:rPr>
          <w:rFonts w:asciiTheme="minorHAnsi" w:hAnsiTheme="minorHAnsi" w:cstheme="minorHAnsi"/>
        </w:rPr>
        <w:t xml:space="preserve"> (</w:t>
      </w:r>
      <w:r w:rsidR="003B7D5E">
        <w:rPr>
          <w:rFonts w:asciiTheme="minorHAnsi" w:hAnsiTheme="minorHAnsi" w:cstheme="minorHAnsi"/>
        </w:rPr>
        <w:t>12</w:t>
      </w:r>
      <w:r>
        <w:rPr>
          <w:rFonts w:asciiTheme="minorHAnsi" w:hAnsiTheme="minorHAnsi" w:cstheme="minorHAnsi"/>
        </w:rPr>
        <w:t>) mesecev od dneva prevzema opreme;</w:t>
      </w:r>
    </w:p>
    <w:p w14:paraId="1ED96484" w14:textId="77777777" w:rsidR="00CF225C" w:rsidRDefault="0036675B">
      <w:pPr>
        <w:pStyle w:val="ListParagraph"/>
        <w:numPr>
          <w:ilvl w:val="0"/>
          <w:numId w:val="4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dobavo reagentov in potrošnega ma</w:t>
      </w:r>
      <w:r>
        <w:rPr>
          <w:rFonts w:asciiTheme="minorHAnsi" w:hAnsiTheme="minorHAnsi" w:cstheme="minorHAnsi"/>
        </w:rPr>
        <w:t>teriala za biokemični analizator za obdobje petih (5) let;</w:t>
      </w:r>
    </w:p>
    <w:p w14:paraId="14F1CD42" w14:textId="77777777" w:rsidR="00CF225C" w:rsidRDefault="0036675B">
      <w:pPr>
        <w:pStyle w:val="ListParagraph"/>
        <w:numPr>
          <w:ilvl w:val="0"/>
          <w:numId w:val="4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  <w:sectPr w:rsidR="00CF225C">
          <w:headerReference w:type="default" r:id="rId8"/>
          <w:footerReference w:type="default" r:id="rId9"/>
          <w:pgSz w:w="11906" w:h="16838"/>
          <w:pgMar w:top="1134" w:right="1418" w:bottom="1134" w:left="1418" w:header="851" w:footer="340" w:gutter="0"/>
          <w:cols w:space="720"/>
          <w:formProt w:val="0"/>
          <w:docGrid w:linePitch="360"/>
        </w:sectPr>
      </w:pPr>
      <w:r>
        <w:rPr>
          <w:rFonts w:asciiTheme="minorHAnsi" w:hAnsiTheme="minorHAnsi" w:cstheme="minorHAnsi"/>
        </w:rPr>
        <w:t xml:space="preserve">zagotavljamo strokovno usposobljeno(-e) osebo(-e), ki bo(-do) izvajala(-e) </w:t>
      </w:r>
      <w:r>
        <w:rPr>
          <w:rFonts w:asciiTheme="minorHAnsi" w:hAnsiTheme="minorHAnsi" w:cstheme="minorHAnsi"/>
        </w:rPr>
        <w:t>usposabljanje na opremi, ki je predmet javnega naročila, skladno z zahtevami naročnika.</w:t>
      </w:r>
    </w:p>
    <w:p w14:paraId="1B5C2463" w14:textId="77777777" w:rsidR="00CF225C" w:rsidRDefault="0036675B">
      <w:pPr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lastRenderedPageBreak/>
        <w:t xml:space="preserve">NAVODILO: </w:t>
      </w:r>
    </w:p>
    <w:p w14:paraId="38ECA16A" w14:textId="77777777" w:rsidR="00CF225C" w:rsidRDefault="0036675B">
      <w:pPr>
        <w:pStyle w:val="Heading1"/>
        <w:numPr>
          <w:ilvl w:val="0"/>
          <w:numId w:val="5"/>
        </w:numPr>
        <w:spacing w:before="0" w:line="276" w:lineRule="auto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Ponudnik mora </w:t>
      </w:r>
      <w:r>
        <w:rPr>
          <w:rFonts w:asciiTheme="minorHAnsi" w:hAnsiTheme="minorHAnsi" w:cstheme="minorHAnsi"/>
          <w:b w:val="0"/>
          <w:sz w:val="22"/>
          <w:szCs w:val="22"/>
          <w:u w:val="single"/>
        </w:rPr>
        <w:t>natančno navesti dejanske tehnične specifikacije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ponujene opreme po vseh zahtevah.</w:t>
      </w:r>
    </w:p>
    <w:p w14:paraId="68F922DE" w14:textId="77777777" w:rsidR="00CF225C" w:rsidRDefault="00CF225C">
      <w:pPr>
        <w:pStyle w:val="Header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</w:rPr>
      </w:pPr>
    </w:p>
    <w:p w14:paraId="38BB83CD" w14:textId="77777777" w:rsidR="00CF225C" w:rsidRDefault="0036675B">
      <w:pPr>
        <w:pStyle w:val="Header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ponujena oprema v celoti izpolnjuje </w:t>
      </w:r>
      <w:bookmarkStart w:id="2" w:name="_Hlk35971411"/>
      <w:r>
        <w:rPr>
          <w:rFonts w:asciiTheme="minorHAnsi" w:hAnsiTheme="minorHAnsi" w:cstheme="minorHAnsi"/>
        </w:rPr>
        <w:t>minimaln</w:t>
      </w:r>
      <w:r>
        <w:rPr>
          <w:rFonts w:asciiTheme="minorHAnsi" w:hAnsiTheme="minorHAnsi" w:cstheme="minorHAnsi"/>
        </w:rPr>
        <w:t>e tehnične zahteve naročnika</w:t>
      </w:r>
      <w:bookmarkEnd w:id="2"/>
      <w:r>
        <w:rPr>
          <w:rFonts w:asciiTheme="minorHAnsi" w:hAnsiTheme="minorHAnsi" w:cstheme="minorHAnsi"/>
        </w:rPr>
        <w:t xml:space="preserve"> iz poglavja 3 dokumentacije in da smo javno naročilo pripravljeni realizirati po naslednji specifikaciji:</w:t>
      </w:r>
    </w:p>
    <w:p w14:paraId="0CBC318F" w14:textId="77777777" w:rsidR="00CF225C" w:rsidRDefault="00CF225C">
      <w:pPr>
        <w:pStyle w:val="Header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</w:rPr>
      </w:pPr>
    </w:p>
    <w:tbl>
      <w:tblPr>
        <w:tblStyle w:val="TableGrid"/>
        <w:tblW w:w="14560" w:type="dxa"/>
        <w:tblLook w:val="04A0" w:firstRow="1" w:lastRow="0" w:firstColumn="1" w:lastColumn="0" w:noHBand="0" w:noVBand="1"/>
      </w:tblPr>
      <w:tblGrid>
        <w:gridCol w:w="496"/>
        <w:gridCol w:w="5451"/>
        <w:gridCol w:w="5029"/>
        <w:gridCol w:w="3584"/>
      </w:tblGrid>
      <w:tr w:rsidR="00CF225C" w14:paraId="05028CAA" w14:textId="77777777" w:rsidTr="003B7D5E">
        <w:tc>
          <w:tcPr>
            <w:tcW w:w="14560" w:type="dxa"/>
            <w:gridSpan w:val="4"/>
            <w:shd w:val="clear" w:color="auto" w:fill="auto"/>
            <w:vAlign w:val="center"/>
          </w:tcPr>
          <w:p w14:paraId="2AC5E583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OPREMA</w:t>
            </w:r>
          </w:p>
        </w:tc>
      </w:tr>
      <w:tr w:rsidR="00CF225C" w14:paraId="2EDB8E83" w14:textId="77777777" w:rsidTr="003B7D5E">
        <w:tc>
          <w:tcPr>
            <w:tcW w:w="496" w:type="dxa"/>
            <w:shd w:val="clear" w:color="auto" w:fill="auto"/>
            <w:vAlign w:val="center"/>
          </w:tcPr>
          <w:p w14:paraId="4DDB0077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Št.</w:t>
            </w:r>
          </w:p>
        </w:tc>
        <w:tc>
          <w:tcPr>
            <w:tcW w:w="5451" w:type="dxa"/>
            <w:shd w:val="clear" w:color="auto" w:fill="auto"/>
            <w:vAlign w:val="center"/>
          </w:tcPr>
          <w:p w14:paraId="65ADC399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Zahtevano</w:t>
            </w:r>
          </w:p>
        </w:tc>
        <w:tc>
          <w:tcPr>
            <w:tcW w:w="5029" w:type="dxa"/>
            <w:shd w:val="clear" w:color="auto" w:fill="auto"/>
            <w:vAlign w:val="center"/>
          </w:tcPr>
          <w:p w14:paraId="5635B3C6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Ponujeno</w:t>
            </w:r>
            <w:r>
              <w:rPr>
                <w:rStyle w:val="Sidrosprotneopombe"/>
                <w:rFonts w:asciiTheme="minorHAnsi" w:hAnsiTheme="minorHAnsi" w:cstheme="minorHAnsi"/>
                <w:i w:val="0"/>
                <w:iCs/>
              </w:rPr>
              <w:footnoteReference w:id="1"/>
            </w:r>
          </w:p>
        </w:tc>
        <w:tc>
          <w:tcPr>
            <w:tcW w:w="3584" w:type="dxa"/>
            <w:shd w:val="clear" w:color="auto" w:fill="auto"/>
            <w:vAlign w:val="center"/>
          </w:tcPr>
          <w:p w14:paraId="653EA20C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Dokazila</w:t>
            </w:r>
            <w:r>
              <w:rPr>
                <w:rStyle w:val="Sidrosprotneopombe"/>
                <w:rFonts w:asciiTheme="minorHAnsi" w:hAnsiTheme="minorHAnsi" w:cstheme="minorHAnsi"/>
                <w:i w:val="0"/>
                <w:iCs/>
              </w:rPr>
              <w:footnoteReference w:id="2"/>
            </w:r>
          </w:p>
        </w:tc>
      </w:tr>
      <w:tr w:rsidR="00CF225C" w14:paraId="0AAD035A" w14:textId="77777777" w:rsidTr="003B7D5E">
        <w:tc>
          <w:tcPr>
            <w:tcW w:w="496" w:type="dxa"/>
            <w:shd w:val="clear" w:color="auto" w:fill="auto"/>
          </w:tcPr>
          <w:p w14:paraId="37F6FD80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451" w:type="dxa"/>
            <w:shd w:val="clear" w:color="auto" w:fill="auto"/>
          </w:tcPr>
          <w:p w14:paraId="1967DD09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Popolnoma avtomatiziran nov, samostoječi sistem za biokemijo z ISE </w:t>
            </w:r>
            <w:r>
              <w:rPr>
                <w:rFonts w:asciiTheme="minorHAnsi" w:hAnsiTheme="minorHAnsi" w:cstheme="minorHAnsi"/>
              </w:rPr>
              <w:t>(ion selektivne elektrode) enoto in imunokemijo (kemiluminiscenca ali elektroluminiscenca), ki ga je mogoče upravljati preko ene kontrolne postaje</w:t>
            </w:r>
          </w:p>
        </w:tc>
        <w:tc>
          <w:tcPr>
            <w:tcW w:w="5029" w:type="dxa"/>
            <w:shd w:val="clear" w:color="auto" w:fill="auto"/>
          </w:tcPr>
          <w:p w14:paraId="40976B53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0BFD2CD1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41F2B0EE" w14:textId="77777777" w:rsidTr="003B7D5E">
        <w:trPr>
          <w:trHeight w:val="217"/>
        </w:trPr>
        <w:tc>
          <w:tcPr>
            <w:tcW w:w="496" w:type="dxa"/>
            <w:shd w:val="clear" w:color="auto" w:fill="auto"/>
          </w:tcPr>
          <w:p w14:paraId="2A665ABB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5451" w:type="dxa"/>
            <w:shd w:val="clear" w:color="auto" w:fill="auto"/>
          </w:tcPr>
          <w:p w14:paraId="33B372E7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="Calibri" w:hAnsi="Calibri"/>
              </w:rPr>
              <w:t>Kapaciteta aparata vsaj 500 testov/uro</w:t>
            </w:r>
            <w:r>
              <w:rPr>
                <w:rFonts w:asciiTheme="minorHAnsi" w:hAnsiTheme="minorHAnsi" w:cstheme="minorHAnsi"/>
                <w:spacing w:val="4"/>
              </w:rPr>
              <w:t>.</w:t>
            </w:r>
          </w:p>
        </w:tc>
        <w:tc>
          <w:tcPr>
            <w:tcW w:w="5029" w:type="dxa"/>
            <w:shd w:val="clear" w:color="auto" w:fill="auto"/>
          </w:tcPr>
          <w:p w14:paraId="064BDFE3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27D8C462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674F8D1C" w14:textId="77777777" w:rsidTr="003B7D5E">
        <w:tc>
          <w:tcPr>
            <w:tcW w:w="496" w:type="dxa"/>
            <w:shd w:val="clear" w:color="auto" w:fill="auto"/>
          </w:tcPr>
          <w:p w14:paraId="167A5F53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5451" w:type="dxa"/>
            <w:shd w:val="clear" w:color="auto" w:fill="auto"/>
          </w:tcPr>
          <w:p w14:paraId="6FA7A3DA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Analitski sistem mora imeti na voljo vsaj 40 </w:t>
            </w:r>
            <w:r>
              <w:rPr>
                <w:rFonts w:asciiTheme="minorHAnsi" w:hAnsiTheme="minorHAnsi" w:cstheme="minorHAnsi"/>
              </w:rPr>
              <w:t>prostih mest za reagen</w:t>
            </w:r>
            <w:r>
              <w:rPr>
                <w:rFonts w:asciiTheme="minorHAnsi" w:eastAsia="SimSun" w:hAnsiTheme="minorHAnsi" w:cstheme="minorHAnsi"/>
                <w:lang w:eastAsia="zh-CN"/>
              </w:rPr>
              <w:t>te ter vsaj 15 pozicij za odprte kanale- z možnostjo aplikacije tujih testov</w:t>
            </w:r>
          </w:p>
        </w:tc>
        <w:tc>
          <w:tcPr>
            <w:tcW w:w="5029" w:type="dxa"/>
            <w:shd w:val="clear" w:color="auto" w:fill="auto"/>
          </w:tcPr>
          <w:p w14:paraId="0D45E4F3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4D6CF067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5A3FC518" w14:textId="77777777" w:rsidTr="003B7D5E">
        <w:tc>
          <w:tcPr>
            <w:tcW w:w="496" w:type="dxa"/>
            <w:shd w:val="clear" w:color="auto" w:fill="auto"/>
          </w:tcPr>
          <w:p w14:paraId="71E56860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5451" w:type="dxa"/>
            <w:shd w:val="clear" w:color="auto" w:fill="auto"/>
          </w:tcPr>
          <w:p w14:paraId="08E218B9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Analitski sistem mora imeti hladilni del (2 – 8 °C), kjer so shranjeni reagenti</w:t>
            </w:r>
          </w:p>
        </w:tc>
        <w:tc>
          <w:tcPr>
            <w:tcW w:w="5029" w:type="dxa"/>
            <w:shd w:val="clear" w:color="auto" w:fill="auto"/>
          </w:tcPr>
          <w:p w14:paraId="64DB2FC5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47C48C1B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03CC2962" w14:textId="77777777" w:rsidTr="003B7D5E">
        <w:tc>
          <w:tcPr>
            <w:tcW w:w="496" w:type="dxa"/>
            <w:shd w:val="clear" w:color="auto" w:fill="auto"/>
          </w:tcPr>
          <w:p w14:paraId="5B790907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5451" w:type="dxa"/>
            <w:shd w:val="clear" w:color="auto" w:fill="auto"/>
          </w:tcPr>
          <w:p w14:paraId="4D5C2D2E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Sistem z maximalnimi dimenzijami </w:t>
            </w:r>
            <w:r>
              <w:rPr>
                <w:rFonts w:asciiTheme="minorHAnsi" w:eastAsia="SimSun" w:hAnsiTheme="minorHAnsi" w:cstheme="minorHAnsi"/>
                <w:lang w:eastAsia="zh-CN"/>
              </w:rPr>
              <w:t>š</w:t>
            </w:r>
            <w:r>
              <w:rPr>
                <w:rFonts w:asciiTheme="minorHAnsi" w:hAnsiTheme="minorHAnsi" w:cstheme="minorHAnsi"/>
              </w:rPr>
              <w:t xml:space="preserve"> x g x v: 2</w:t>
            </w:r>
            <w:r>
              <w:rPr>
                <w:rFonts w:asciiTheme="minorHAnsi" w:eastAsia="SimSun" w:hAnsiTheme="minorHAnsi" w:cstheme="minorHAnsi"/>
                <w:lang w:eastAsia="zh-CN"/>
              </w:rPr>
              <w:t>45</w:t>
            </w:r>
            <w:r>
              <w:rPr>
                <w:rFonts w:asciiTheme="minorHAnsi" w:hAnsiTheme="minorHAnsi" w:cstheme="minorHAnsi"/>
              </w:rPr>
              <w:t xml:space="preserve"> x </w:t>
            </w:r>
            <w:r>
              <w:rPr>
                <w:rFonts w:asciiTheme="minorHAnsi" w:eastAsia="SimSun" w:hAnsiTheme="minorHAnsi" w:cstheme="minorHAnsi"/>
                <w:lang w:eastAsia="zh-CN"/>
              </w:rPr>
              <w:t>80</w:t>
            </w:r>
            <w:r>
              <w:rPr>
                <w:rFonts w:asciiTheme="minorHAnsi" w:hAnsiTheme="minorHAnsi" w:cstheme="minorHAnsi"/>
              </w:rPr>
              <w:t xml:space="preserve"> x </w:t>
            </w:r>
            <w:r>
              <w:rPr>
                <w:rFonts w:asciiTheme="minorHAnsi" w:eastAsia="SimSun" w:hAnsiTheme="minorHAnsi" w:cstheme="minorHAnsi"/>
                <w:lang w:eastAsia="zh-CN"/>
              </w:rPr>
              <w:t>180</w:t>
            </w:r>
            <w:r>
              <w:rPr>
                <w:rFonts w:asciiTheme="minorHAnsi" w:hAnsiTheme="minorHAnsi" w:cstheme="minorHAnsi"/>
              </w:rPr>
              <w:t xml:space="preserve"> cm</w:t>
            </w:r>
          </w:p>
        </w:tc>
        <w:tc>
          <w:tcPr>
            <w:tcW w:w="5029" w:type="dxa"/>
            <w:shd w:val="clear" w:color="auto" w:fill="auto"/>
          </w:tcPr>
          <w:p w14:paraId="643E1D2B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3DF1E432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15644835" w14:textId="77777777" w:rsidTr="003B7D5E">
        <w:tc>
          <w:tcPr>
            <w:tcW w:w="496" w:type="dxa"/>
            <w:shd w:val="clear" w:color="auto" w:fill="auto"/>
          </w:tcPr>
          <w:p w14:paraId="4A5C5890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5451" w:type="dxa"/>
            <w:shd w:val="clear" w:color="auto" w:fill="auto"/>
          </w:tcPr>
          <w:p w14:paraId="53BE5C7C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sl-SI"/>
              </w:rPr>
              <w:t xml:space="preserve">Analitski sistem </w:t>
            </w:r>
            <w:r>
              <w:rPr>
                <w:rFonts w:asciiTheme="minorHAnsi" w:hAnsiTheme="minorHAnsi" w:cstheme="minorHAnsi"/>
                <w:color w:val="000000"/>
              </w:rPr>
              <w:t>mora omogočati analizo različnih tipov vzorca: serum, plazma ter urin</w:t>
            </w:r>
          </w:p>
        </w:tc>
        <w:tc>
          <w:tcPr>
            <w:tcW w:w="5029" w:type="dxa"/>
            <w:shd w:val="clear" w:color="auto" w:fill="auto"/>
          </w:tcPr>
          <w:p w14:paraId="48EEE886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105B309A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38001BC8" w14:textId="77777777" w:rsidTr="003B7D5E">
        <w:tc>
          <w:tcPr>
            <w:tcW w:w="496" w:type="dxa"/>
            <w:shd w:val="clear" w:color="auto" w:fill="auto"/>
          </w:tcPr>
          <w:p w14:paraId="4332DEF0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5451" w:type="dxa"/>
            <w:shd w:val="clear" w:color="auto" w:fill="auto"/>
          </w:tcPr>
          <w:p w14:paraId="119F742F" w14:textId="77777777" w:rsidR="00CF225C" w:rsidRDefault="0036675B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Analitski sistem mora omogočati biokemijske preiskave:</w:t>
            </w:r>
          </w:p>
          <w:p w14:paraId="2D38DE21" w14:textId="77777777" w:rsidR="00CF225C" w:rsidRDefault="0036675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spacing w:val="4"/>
              </w:rPr>
            </w:pPr>
            <w:r>
              <w:rPr>
                <w:rFonts w:asciiTheme="minorHAnsi" w:hAnsiTheme="minorHAnsi" w:cstheme="minorHAnsi"/>
                <w:color w:val="000000"/>
              </w:rPr>
              <w:t>v urinu albumin, kreatinin</w:t>
            </w:r>
          </w:p>
          <w:p w14:paraId="79AE7486" w14:textId="77777777" w:rsidR="00CF225C" w:rsidRDefault="0036675B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rPr>
                <w:rFonts w:asciiTheme="minorHAnsi" w:hAnsiTheme="minorHAnsi" w:cstheme="minorHAnsi"/>
                <w:color w:val="000000"/>
              </w:rPr>
              <w:t xml:space="preserve">v </w:t>
            </w:r>
            <w:r>
              <w:rPr>
                <w:rFonts w:asciiTheme="minorHAnsi" w:hAnsiTheme="minorHAnsi" w:cstheme="minorHAnsi"/>
                <w:color w:val="000000"/>
              </w:rPr>
              <w:t xml:space="preserve">plazmi ali serumu: alkalna fosfataza, ALT, AST, bilirubin direktni, bilirubin celokupni, holesterol, kreatinin, CRP, γ-GT, glukoza, HDL-holesterol, </w:t>
            </w:r>
            <w:r>
              <w:rPr>
                <w:rFonts w:asciiTheme="minorHAnsi" w:hAnsiTheme="minorHAnsi" w:cstheme="minorHAnsi"/>
                <w:color w:val="000000"/>
              </w:rPr>
              <w:lastRenderedPageBreak/>
              <w:t>železo, LDL-holesterol, trigliceridi, transferin, sečna kislina, sečnina, elektroliti (Na, K, Cl</w:t>
            </w:r>
            <w:r w:rsidRPr="003B7D5E">
              <w:rPr>
                <w:rFonts w:asciiTheme="minorHAnsi" w:hAnsiTheme="minorHAnsi" w:cstheme="minorHAnsi"/>
                <w:color w:val="000000"/>
                <w:spacing w:val="4"/>
              </w:rPr>
              <w:t>)</w:t>
            </w:r>
          </w:p>
        </w:tc>
        <w:tc>
          <w:tcPr>
            <w:tcW w:w="5029" w:type="dxa"/>
            <w:shd w:val="clear" w:color="auto" w:fill="auto"/>
          </w:tcPr>
          <w:p w14:paraId="34B91F08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3CE8548B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46B90BC8" w14:textId="77777777" w:rsidTr="003B7D5E">
        <w:tc>
          <w:tcPr>
            <w:tcW w:w="496" w:type="dxa"/>
            <w:shd w:val="clear" w:color="auto" w:fill="auto"/>
          </w:tcPr>
          <w:p w14:paraId="7736A5D7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5451" w:type="dxa"/>
            <w:shd w:val="clear" w:color="auto" w:fill="auto"/>
          </w:tcPr>
          <w:p w14:paraId="06850F50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</w:pPr>
            <w:r>
              <w:rPr>
                <w:rFonts w:asciiTheme="minorHAnsi" w:hAnsiTheme="minorHAnsi" w:cstheme="minorHAnsi"/>
                <w:color w:val="000000"/>
              </w:rPr>
              <w:t>Anal</w:t>
            </w:r>
            <w:r>
              <w:rPr>
                <w:rFonts w:asciiTheme="minorHAnsi" w:hAnsiTheme="minorHAnsi" w:cstheme="minorHAnsi"/>
                <w:color w:val="000000"/>
              </w:rPr>
              <w:t xml:space="preserve">itski sistem mora omogočati </w:t>
            </w:r>
            <w:r>
              <w:rPr>
                <w:rFonts w:asciiTheme="minorHAnsi" w:eastAsia="SimSun" w:hAnsiTheme="minorHAnsi" w:cstheme="minorHAnsi"/>
                <w:color w:val="000000"/>
                <w:lang w:eastAsia="zh-CN"/>
              </w:rPr>
              <w:t>imunokemijske</w:t>
            </w:r>
            <w:r>
              <w:rPr>
                <w:rFonts w:asciiTheme="minorHAnsi" w:hAnsiTheme="minorHAnsi" w:cstheme="minorHAnsi"/>
                <w:color w:val="000000"/>
              </w:rPr>
              <w:t xml:space="preserve"> preiskave, kot so: feritin, folati, fT3, fT4, tPSA, TSH, VitB12, </w:t>
            </w:r>
            <w:r w:rsidRPr="003B7D5E">
              <w:rPr>
                <w:rFonts w:asciiTheme="minorHAnsi" w:hAnsiTheme="minorHAnsi" w:cstheme="minorHAnsi"/>
                <w:color w:val="000000"/>
              </w:rPr>
              <w:t>hsTroponinI, D-Dimer</w:t>
            </w:r>
          </w:p>
        </w:tc>
        <w:tc>
          <w:tcPr>
            <w:tcW w:w="5029" w:type="dxa"/>
            <w:shd w:val="clear" w:color="auto" w:fill="auto"/>
          </w:tcPr>
          <w:p w14:paraId="39A91A3F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2760C6D8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4A2FEB43" w14:textId="77777777" w:rsidTr="003B7D5E">
        <w:tc>
          <w:tcPr>
            <w:tcW w:w="496" w:type="dxa"/>
            <w:shd w:val="clear" w:color="auto" w:fill="auto"/>
          </w:tcPr>
          <w:p w14:paraId="4405E427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5451" w:type="dxa"/>
            <w:shd w:val="clear" w:color="auto" w:fill="auto"/>
          </w:tcPr>
          <w:p w14:paraId="310E869C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eastAsia="zh-CN"/>
              </w:rPr>
              <w:t xml:space="preserve">Analitski sistem mora imeti skupno mesto za vstavljanje vseh vzorcev z možnostjo dodajanja nujnih vzorcev, omogočati mora </w:t>
            </w:r>
            <w:r>
              <w:rPr>
                <w:rFonts w:asciiTheme="minorHAnsi" w:eastAsia="Trebuchet MS" w:hAnsiTheme="minorHAnsi" w:cstheme="minorHAnsi"/>
                <w:color w:val="000000"/>
                <w:lang w:eastAsia="zh-CN"/>
              </w:rPr>
              <w:t>neprekinjeno dodajanje vzorcev in zbiranje pomerjenih vzorcev na enem skupnem mestu</w:t>
            </w:r>
          </w:p>
        </w:tc>
        <w:tc>
          <w:tcPr>
            <w:tcW w:w="5029" w:type="dxa"/>
            <w:shd w:val="clear" w:color="auto" w:fill="auto"/>
          </w:tcPr>
          <w:p w14:paraId="154ECB5E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0ADC8D93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20D7EA11" w14:textId="77777777" w:rsidTr="003B7D5E">
        <w:tc>
          <w:tcPr>
            <w:tcW w:w="496" w:type="dxa"/>
            <w:shd w:val="clear" w:color="auto" w:fill="auto"/>
          </w:tcPr>
          <w:p w14:paraId="2B613F49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5451" w:type="dxa"/>
            <w:shd w:val="clear" w:color="auto" w:fill="auto"/>
          </w:tcPr>
          <w:p w14:paraId="4CC5941B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Analitski sistem mora omogočati uporabo različnih velikosti standardnih epruvet (5 mL, 7 mL, 10 mL) ter vzorčnih posodic z mrtvim volumnom ne več kot </w:t>
            </w:r>
            <w:r>
              <w:rPr>
                <w:rFonts w:asciiTheme="minorHAnsi" w:eastAsia="SimSun" w:hAnsiTheme="minorHAnsi" w:cstheme="minorHAnsi"/>
                <w:lang w:eastAsia="zh-CN"/>
              </w:rPr>
              <w:t>100µl</w:t>
            </w:r>
          </w:p>
        </w:tc>
        <w:tc>
          <w:tcPr>
            <w:tcW w:w="5029" w:type="dxa"/>
            <w:shd w:val="clear" w:color="auto" w:fill="auto"/>
          </w:tcPr>
          <w:p w14:paraId="52CFBFAD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06F930F5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5753E96A" w14:textId="77777777" w:rsidTr="003B7D5E">
        <w:tc>
          <w:tcPr>
            <w:tcW w:w="496" w:type="dxa"/>
            <w:shd w:val="clear" w:color="auto" w:fill="auto"/>
          </w:tcPr>
          <w:p w14:paraId="163B5775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5451" w:type="dxa"/>
            <w:shd w:val="clear" w:color="auto" w:fill="auto"/>
          </w:tcPr>
          <w:p w14:paraId="7D96EFB4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Analitski sistem mora omogočati prepoznavanje vzorcev, kalibratorjev in kontrol preko črtn</w:t>
            </w:r>
            <w:r>
              <w:rPr>
                <w:rFonts w:asciiTheme="minorHAnsi" w:eastAsia="SimSun" w:hAnsiTheme="minorHAnsi" w:cstheme="minorHAnsi"/>
                <w:lang w:eastAsia="zh-CN"/>
              </w:rPr>
              <w:t xml:space="preserve">ih </w:t>
            </w:r>
            <w:r>
              <w:rPr>
                <w:rFonts w:asciiTheme="minorHAnsi" w:hAnsiTheme="minorHAnsi" w:cstheme="minorHAnsi"/>
              </w:rPr>
              <w:t>kod</w:t>
            </w:r>
          </w:p>
        </w:tc>
        <w:tc>
          <w:tcPr>
            <w:tcW w:w="5029" w:type="dxa"/>
            <w:shd w:val="clear" w:color="auto" w:fill="auto"/>
          </w:tcPr>
          <w:p w14:paraId="2276C22E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410426DE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394EF990" w14:textId="77777777" w:rsidTr="003B7D5E">
        <w:tc>
          <w:tcPr>
            <w:tcW w:w="496" w:type="dxa"/>
            <w:shd w:val="clear" w:color="auto" w:fill="auto"/>
          </w:tcPr>
          <w:p w14:paraId="492E6E62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5451" w:type="dxa"/>
            <w:shd w:val="clear" w:color="auto" w:fill="auto"/>
          </w:tcPr>
          <w:p w14:paraId="154D8E81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Analitski sistem mora omogočati mrežni priklop in dvosmerno komunikacijo </w:t>
            </w:r>
            <w:r>
              <w:rPr>
                <w:rFonts w:asciiTheme="minorHAnsi" w:eastAsia="SimSun" w:hAnsiTheme="minorHAnsi" w:cstheme="minorHAnsi"/>
                <w:lang w:eastAsia="zh-CN"/>
              </w:rPr>
              <w:t>z</w:t>
            </w:r>
            <w:r>
              <w:rPr>
                <w:rFonts w:asciiTheme="minorHAnsi" w:hAnsiTheme="minorHAnsi" w:cstheme="minorHAnsi"/>
              </w:rPr>
              <w:t xml:space="preserve"> obstoječim informacijskim sistemom  LIS–om na stroške ponudnika. Prenos podatk</w:t>
            </w:r>
            <w:r>
              <w:rPr>
                <w:rFonts w:asciiTheme="minorHAnsi" w:hAnsiTheme="minorHAnsi" w:cstheme="minorHAnsi"/>
              </w:rPr>
              <w:t>ov mora vključevati možnost prenosa demografskih podatkov pacienta: ime, priimek, rojstni datum, spol</w:t>
            </w:r>
          </w:p>
        </w:tc>
        <w:tc>
          <w:tcPr>
            <w:tcW w:w="5029" w:type="dxa"/>
            <w:shd w:val="clear" w:color="auto" w:fill="auto"/>
          </w:tcPr>
          <w:p w14:paraId="5B60A9BA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265C2D9F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5588AFDA" w14:textId="77777777" w:rsidTr="003B7D5E">
        <w:tc>
          <w:tcPr>
            <w:tcW w:w="496" w:type="dxa"/>
            <w:shd w:val="clear" w:color="auto" w:fill="auto"/>
          </w:tcPr>
          <w:p w14:paraId="25C8EA1F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5451" w:type="dxa"/>
            <w:shd w:val="clear" w:color="auto" w:fill="auto"/>
          </w:tcPr>
          <w:p w14:paraId="27CA74D0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Analitski sistem mora omogočati merjenje HIL indeksa (hemolitičnost, ikeričnost, lipemičnost)</w:t>
            </w:r>
          </w:p>
        </w:tc>
        <w:tc>
          <w:tcPr>
            <w:tcW w:w="5029" w:type="dxa"/>
            <w:shd w:val="clear" w:color="auto" w:fill="auto"/>
          </w:tcPr>
          <w:p w14:paraId="1CF02954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446E4638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1A6782B7" w14:textId="77777777" w:rsidTr="003B7D5E">
        <w:tc>
          <w:tcPr>
            <w:tcW w:w="496" w:type="dxa"/>
            <w:shd w:val="clear" w:color="auto" w:fill="auto"/>
          </w:tcPr>
          <w:p w14:paraId="77CF3268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5451" w:type="dxa"/>
            <w:shd w:val="clear" w:color="auto" w:fill="auto"/>
          </w:tcPr>
          <w:p w14:paraId="62CDB56B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Analitski sistem mora </w:t>
            </w:r>
            <w:r>
              <w:rPr>
                <w:rFonts w:asciiTheme="minorHAnsi" w:eastAsia="SimSun" w:hAnsiTheme="minorHAnsi" w:cstheme="minorHAnsi"/>
                <w:lang w:eastAsia="zh-CN"/>
              </w:rPr>
              <w:t>na pipetorjih za aspiracij</w:t>
            </w:r>
            <w:r>
              <w:rPr>
                <w:rFonts w:asciiTheme="minorHAnsi" w:eastAsia="SimSun" w:hAnsiTheme="minorHAnsi" w:cstheme="minorHAnsi"/>
                <w:lang w:eastAsia="zh-CN"/>
              </w:rPr>
              <w:t xml:space="preserve">o vzorcev omogočati zaznavanje nivoja tekočine vzorca, </w:t>
            </w:r>
            <w:r>
              <w:rPr>
                <w:rFonts w:asciiTheme="minorHAnsi" w:hAnsiTheme="minorHAnsi" w:cstheme="minorHAnsi"/>
              </w:rPr>
              <w:t>detekcij</w:t>
            </w:r>
            <w:r>
              <w:rPr>
                <w:rFonts w:asciiTheme="minorHAnsi" w:eastAsia="SimSun" w:hAnsiTheme="minorHAnsi" w:cstheme="minorHAnsi"/>
                <w:lang w:eastAsia="zh-CN"/>
              </w:rPr>
              <w:t>o</w:t>
            </w:r>
            <w:r>
              <w:rPr>
                <w:rFonts w:asciiTheme="minorHAnsi" w:hAnsiTheme="minorHAnsi" w:cstheme="minorHAnsi"/>
              </w:rPr>
              <w:t xml:space="preserve"> mikrofibrinskih strdkov ter zračnih mehurčkov v vzorcu</w:t>
            </w:r>
          </w:p>
        </w:tc>
        <w:tc>
          <w:tcPr>
            <w:tcW w:w="5029" w:type="dxa"/>
            <w:shd w:val="clear" w:color="auto" w:fill="auto"/>
          </w:tcPr>
          <w:p w14:paraId="08B5AA9B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3C5EC2E4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18FDEA44" w14:textId="77777777" w:rsidTr="003B7D5E">
        <w:tc>
          <w:tcPr>
            <w:tcW w:w="496" w:type="dxa"/>
            <w:shd w:val="clear" w:color="auto" w:fill="auto"/>
          </w:tcPr>
          <w:p w14:paraId="100E70D0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5451" w:type="dxa"/>
            <w:shd w:val="clear" w:color="auto" w:fill="auto"/>
          </w:tcPr>
          <w:p w14:paraId="150A963C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eastAsia="zh-CN"/>
              </w:rPr>
              <w:t>Analitski s</w:t>
            </w:r>
            <w:r>
              <w:rPr>
                <w:rFonts w:asciiTheme="minorHAnsi" w:hAnsiTheme="minorHAnsi" w:cstheme="minorHAnsi"/>
                <w:color w:val="000000"/>
              </w:rPr>
              <w:t>istem mora avtomatsk</w:t>
            </w:r>
            <w:r>
              <w:rPr>
                <w:rFonts w:asciiTheme="minorHAnsi" w:eastAsia="SimSun" w:hAnsiTheme="minorHAnsi" w:cstheme="minorHAnsi"/>
                <w:color w:val="000000"/>
                <w:lang w:eastAsia="zh-CN"/>
              </w:rPr>
              <w:t xml:space="preserve">o </w:t>
            </w:r>
            <w:r>
              <w:rPr>
                <w:rFonts w:asciiTheme="minorHAnsi" w:hAnsiTheme="minorHAnsi" w:cstheme="minorHAnsi"/>
                <w:color w:val="000000"/>
              </w:rPr>
              <w:t>opozarja</w:t>
            </w:r>
            <w:r>
              <w:rPr>
                <w:rFonts w:asciiTheme="minorHAnsi" w:eastAsia="SimSun" w:hAnsiTheme="minorHAnsi" w:cstheme="minorHAnsi"/>
                <w:color w:val="000000"/>
                <w:lang w:eastAsia="zh-CN"/>
              </w:rPr>
              <w:t xml:space="preserve">ti </w:t>
            </w:r>
            <w:r>
              <w:rPr>
                <w:rFonts w:asciiTheme="minorHAnsi" w:hAnsiTheme="minorHAnsi" w:cstheme="minorHAnsi"/>
                <w:color w:val="000000"/>
              </w:rPr>
              <w:t>na potrebo po menjavi reagentov in potrošnega materiala</w:t>
            </w:r>
          </w:p>
        </w:tc>
        <w:tc>
          <w:tcPr>
            <w:tcW w:w="5029" w:type="dxa"/>
            <w:shd w:val="clear" w:color="auto" w:fill="auto"/>
          </w:tcPr>
          <w:p w14:paraId="523237E3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6B96F33A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25AF6D4F" w14:textId="77777777" w:rsidTr="003B7D5E">
        <w:tc>
          <w:tcPr>
            <w:tcW w:w="496" w:type="dxa"/>
            <w:shd w:val="clear" w:color="auto" w:fill="auto"/>
          </w:tcPr>
          <w:p w14:paraId="6010DF49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5451" w:type="dxa"/>
            <w:shd w:val="clear" w:color="auto" w:fill="auto"/>
          </w:tcPr>
          <w:p w14:paraId="0252D049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</w:pPr>
            <w:r>
              <w:rPr>
                <w:rFonts w:asciiTheme="minorHAnsi" w:hAnsiTheme="minorHAnsi" w:cstheme="minorHAnsi"/>
              </w:rPr>
              <w:t xml:space="preserve">Analitski sistem mora avtomatsko označiti tiste teste, ki kalibracijo potrebujejo. Prav tako mora opozarjati na uspešnost kalibracij, izpadlih kontrol, </w:t>
            </w:r>
            <w:r w:rsidRPr="003B7D5E">
              <w:rPr>
                <w:rFonts w:asciiTheme="minorHAnsi" w:hAnsiTheme="minorHAnsi" w:cstheme="minorHAnsi"/>
              </w:rPr>
              <w:t xml:space="preserve">stabilnost </w:t>
            </w:r>
            <w:r>
              <w:rPr>
                <w:rFonts w:asciiTheme="minorHAnsi" w:hAnsiTheme="minorHAnsi" w:cstheme="minorHAnsi"/>
                <w:color w:val="000000"/>
              </w:rPr>
              <w:t>reagentov na analizatorju, roka uporabe reagentov ter kalibratorjev</w:t>
            </w:r>
          </w:p>
        </w:tc>
        <w:tc>
          <w:tcPr>
            <w:tcW w:w="5029" w:type="dxa"/>
            <w:shd w:val="clear" w:color="auto" w:fill="auto"/>
          </w:tcPr>
          <w:p w14:paraId="3E0D2F0D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1AD2D7D9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5328C9AD" w14:textId="77777777" w:rsidTr="003B7D5E">
        <w:tc>
          <w:tcPr>
            <w:tcW w:w="496" w:type="dxa"/>
            <w:shd w:val="clear" w:color="auto" w:fill="auto"/>
          </w:tcPr>
          <w:p w14:paraId="5601427E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5451" w:type="dxa"/>
            <w:shd w:val="clear" w:color="auto" w:fill="auto"/>
          </w:tcPr>
          <w:p w14:paraId="0960D0F7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color w:val="000000"/>
                <w:lang w:eastAsia="zh-CN"/>
              </w:rPr>
              <w:t>Reagenti morajo bit</w:t>
            </w:r>
            <w:r>
              <w:rPr>
                <w:rFonts w:asciiTheme="minorHAnsi" w:eastAsia="Calibri" w:hAnsiTheme="minorHAnsi" w:cstheme="minorHAnsi"/>
                <w:color w:val="000000"/>
                <w:lang w:eastAsia="zh-CN"/>
              </w:rPr>
              <w:t>i pripravljeni za uporabo (brez predhodne priprave, brez mešanja, brez čakanja, brez predhodnega odpiranja)</w:t>
            </w:r>
          </w:p>
        </w:tc>
        <w:tc>
          <w:tcPr>
            <w:tcW w:w="5029" w:type="dxa"/>
            <w:shd w:val="clear" w:color="auto" w:fill="auto"/>
          </w:tcPr>
          <w:p w14:paraId="623D4A80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6460083C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5022185F" w14:textId="77777777" w:rsidTr="003B7D5E">
        <w:tc>
          <w:tcPr>
            <w:tcW w:w="496" w:type="dxa"/>
            <w:shd w:val="clear" w:color="auto" w:fill="auto"/>
          </w:tcPr>
          <w:p w14:paraId="5ECDD08E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18</w:t>
            </w:r>
          </w:p>
        </w:tc>
        <w:tc>
          <w:tcPr>
            <w:tcW w:w="5451" w:type="dxa"/>
            <w:shd w:val="clear" w:color="auto" w:fill="auto"/>
          </w:tcPr>
          <w:p w14:paraId="18C6C835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color w:val="000000"/>
                <w:lang w:eastAsia="zh-CN"/>
              </w:rPr>
              <w:t>V ponudbi mora biti upoštevan rok uporabe reagenta na analizatorju (»On board stability«)</w:t>
            </w:r>
          </w:p>
        </w:tc>
        <w:tc>
          <w:tcPr>
            <w:tcW w:w="5029" w:type="dxa"/>
            <w:shd w:val="clear" w:color="auto" w:fill="auto"/>
          </w:tcPr>
          <w:p w14:paraId="1CFB4CF5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6FC41337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78ED1462" w14:textId="77777777" w:rsidTr="003B7D5E">
        <w:tc>
          <w:tcPr>
            <w:tcW w:w="496" w:type="dxa"/>
            <w:shd w:val="clear" w:color="auto" w:fill="auto"/>
          </w:tcPr>
          <w:p w14:paraId="470DC3DC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5451" w:type="dxa"/>
            <w:shd w:val="clear" w:color="auto" w:fill="auto"/>
          </w:tcPr>
          <w:p w14:paraId="761FB678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color w:val="000000"/>
                <w:lang w:eastAsia="zh-CN"/>
              </w:rPr>
              <w:t xml:space="preserve">Omogočena mora biti avtomatska </w:t>
            </w:r>
            <w:r>
              <w:rPr>
                <w:rFonts w:asciiTheme="minorHAnsi" w:eastAsia="Calibri" w:hAnsiTheme="minorHAnsi" w:cstheme="minorHAnsi"/>
                <w:color w:val="000000"/>
                <w:lang w:eastAsia="zh-CN"/>
              </w:rPr>
              <w:t>kontrola časa stabilnosti reagentov</w:t>
            </w:r>
          </w:p>
        </w:tc>
        <w:tc>
          <w:tcPr>
            <w:tcW w:w="5029" w:type="dxa"/>
            <w:shd w:val="clear" w:color="auto" w:fill="auto"/>
          </w:tcPr>
          <w:p w14:paraId="39A81AD9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011AB70D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1BD503A6" w14:textId="77777777" w:rsidTr="003B7D5E">
        <w:tc>
          <w:tcPr>
            <w:tcW w:w="496" w:type="dxa"/>
            <w:shd w:val="clear" w:color="auto" w:fill="auto"/>
          </w:tcPr>
          <w:p w14:paraId="3A33E951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5451" w:type="dxa"/>
            <w:shd w:val="clear" w:color="auto" w:fill="auto"/>
          </w:tcPr>
          <w:p w14:paraId="748A9539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color w:val="000000"/>
                <w:lang w:eastAsia="zh-CN"/>
              </w:rPr>
              <w:t>Analitski sistem mora omogočati avtomatsko redčenje vzorcev ob preseženih koncentracijah analita</w:t>
            </w:r>
          </w:p>
        </w:tc>
        <w:tc>
          <w:tcPr>
            <w:tcW w:w="5029" w:type="dxa"/>
            <w:shd w:val="clear" w:color="auto" w:fill="auto"/>
          </w:tcPr>
          <w:p w14:paraId="038BB2E2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215A2F4B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48A4005E" w14:textId="77777777" w:rsidTr="003B7D5E">
        <w:tc>
          <w:tcPr>
            <w:tcW w:w="496" w:type="dxa"/>
            <w:shd w:val="clear" w:color="auto" w:fill="auto"/>
          </w:tcPr>
          <w:p w14:paraId="55F9C202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5451" w:type="dxa"/>
            <w:shd w:val="clear" w:color="auto" w:fill="auto"/>
          </w:tcPr>
          <w:p w14:paraId="6994A43C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</w:rPr>
            </w:pPr>
            <w:r>
              <w:rPr>
                <w:rFonts w:asciiTheme="minorHAnsi" w:eastAsia="SimSun" w:hAnsiTheme="minorHAnsi" w:cstheme="minorHAnsi"/>
                <w:lang w:eastAsia="zh-CN"/>
              </w:rPr>
              <w:t xml:space="preserve">Analitski sistem mora omogočati </w:t>
            </w:r>
            <w:r>
              <w:rPr>
                <w:rFonts w:asciiTheme="minorHAnsi" w:hAnsiTheme="minorHAnsi" w:cstheme="minorHAnsi"/>
              </w:rPr>
              <w:t>shranjevan</w:t>
            </w:r>
            <w:r>
              <w:rPr>
                <w:rFonts w:asciiTheme="minorHAnsi" w:eastAsia="SimSun" w:hAnsiTheme="minorHAnsi" w:cstheme="minorHAnsi"/>
                <w:lang w:eastAsia="zh-CN"/>
              </w:rPr>
              <w:t>e</w:t>
            </w:r>
            <w:r>
              <w:rPr>
                <w:rFonts w:asciiTheme="minorHAnsi" w:hAnsiTheme="minorHAnsi" w:cstheme="minorHAnsi"/>
              </w:rPr>
              <w:t xml:space="preserve"> podatkov na trdem disku računalnika ter zunanjem elektronskem medij</w:t>
            </w:r>
            <w:r>
              <w:rPr>
                <w:rFonts w:asciiTheme="minorHAnsi" w:hAnsiTheme="minorHAnsi" w:cstheme="minorHAnsi"/>
              </w:rPr>
              <w:t>u USB in mora imeti možnost tiskanja. Imeti mora možnost arhiviranj</w:t>
            </w:r>
            <w:r>
              <w:rPr>
                <w:rFonts w:asciiTheme="minorHAnsi" w:eastAsia="SimSun" w:hAnsiTheme="minorHAnsi" w:cstheme="minorHAnsi"/>
                <w:lang w:eastAsia="zh-CN"/>
              </w:rPr>
              <w:t xml:space="preserve">a </w:t>
            </w:r>
            <w:r>
              <w:rPr>
                <w:rFonts w:asciiTheme="minorHAnsi" w:hAnsiTheme="minorHAnsi" w:cstheme="minorHAnsi"/>
              </w:rPr>
              <w:t xml:space="preserve">podatkov o pacientih, reagentih, </w:t>
            </w:r>
            <w:r>
              <w:rPr>
                <w:rFonts w:asciiTheme="minorHAnsi" w:eastAsia="SimSun" w:hAnsiTheme="minorHAnsi" w:cstheme="minorHAnsi"/>
                <w:lang w:eastAsia="zh-CN"/>
              </w:rPr>
              <w:t>kontrolah</w:t>
            </w:r>
            <w:r>
              <w:rPr>
                <w:rFonts w:asciiTheme="minorHAnsi" w:hAnsiTheme="minorHAnsi" w:cstheme="minorHAnsi"/>
              </w:rPr>
              <w:t xml:space="preserve"> in kalibracijah na zunanji elektronski medij.</w:t>
            </w:r>
          </w:p>
        </w:tc>
        <w:tc>
          <w:tcPr>
            <w:tcW w:w="5029" w:type="dxa"/>
            <w:shd w:val="clear" w:color="auto" w:fill="auto"/>
          </w:tcPr>
          <w:p w14:paraId="066D8604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32BAF05D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472F13B6" w14:textId="77777777" w:rsidTr="003B7D5E">
        <w:tc>
          <w:tcPr>
            <w:tcW w:w="496" w:type="dxa"/>
            <w:shd w:val="clear" w:color="auto" w:fill="auto"/>
          </w:tcPr>
          <w:p w14:paraId="56AEF528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5451" w:type="dxa"/>
            <w:shd w:val="clear" w:color="auto" w:fill="auto"/>
          </w:tcPr>
          <w:p w14:paraId="10FFE5A9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Rezultati pacientov, ki so shranjeni izven analitskega sistema, morajo biti </w:t>
            </w:r>
            <w:r>
              <w:rPr>
                <w:rFonts w:asciiTheme="minorHAnsi" w:hAnsiTheme="minorHAnsi" w:cstheme="minorHAnsi"/>
              </w:rPr>
              <w:t>sledljivi po  lotih reagentov, kontrol in kalibratorjev.</w:t>
            </w:r>
          </w:p>
        </w:tc>
        <w:tc>
          <w:tcPr>
            <w:tcW w:w="5029" w:type="dxa"/>
            <w:shd w:val="clear" w:color="auto" w:fill="auto"/>
          </w:tcPr>
          <w:p w14:paraId="441A4DF9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402E3188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0971ABCD" w14:textId="77777777" w:rsidTr="003B7D5E">
        <w:tc>
          <w:tcPr>
            <w:tcW w:w="496" w:type="dxa"/>
            <w:shd w:val="clear" w:color="auto" w:fill="auto"/>
          </w:tcPr>
          <w:p w14:paraId="7413F6C5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5451" w:type="dxa"/>
            <w:shd w:val="clear" w:color="auto" w:fill="auto"/>
          </w:tcPr>
          <w:p w14:paraId="3CEED29C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Izpis kumulativnih rezultatov mora biti uporabniku prilagodljiv in mora vsebovati: naziv enote, ID pacienta, datum in čas analize, rezultate analiz z ustreznimi enotami in referenčnimi interval</w:t>
            </w:r>
            <w:r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5029" w:type="dxa"/>
            <w:shd w:val="clear" w:color="auto" w:fill="auto"/>
          </w:tcPr>
          <w:p w14:paraId="31128C01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2F91DA55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25F90577" w14:textId="77777777" w:rsidTr="003B7D5E">
        <w:tc>
          <w:tcPr>
            <w:tcW w:w="496" w:type="dxa"/>
            <w:shd w:val="clear" w:color="auto" w:fill="auto"/>
          </w:tcPr>
          <w:p w14:paraId="68D87E6F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5451" w:type="dxa"/>
            <w:shd w:val="clear" w:color="auto" w:fill="auto"/>
          </w:tcPr>
          <w:p w14:paraId="5477538C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Sistem mora imeti možnost avtomatskega potrjevanja kalibracijskih krivulj z možnostjo določitve različnih kriterijev potrjevanja</w:t>
            </w:r>
          </w:p>
        </w:tc>
        <w:tc>
          <w:tcPr>
            <w:tcW w:w="5029" w:type="dxa"/>
            <w:shd w:val="clear" w:color="auto" w:fill="auto"/>
          </w:tcPr>
          <w:p w14:paraId="00CCF8EE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5276787C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4DC9C964" w14:textId="77777777" w:rsidTr="003B7D5E">
        <w:tc>
          <w:tcPr>
            <w:tcW w:w="496" w:type="dxa"/>
            <w:shd w:val="clear" w:color="auto" w:fill="auto"/>
          </w:tcPr>
          <w:p w14:paraId="5D53720E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5451" w:type="dxa"/>
            <w:shd w:val="clear" w:color="auto" w:fill="auto"/>
          </w:tcPr>
          <w:p w14:paraId="654B7C65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V primeru uporabe pralnih kivet, se zahteva avtomatsko pranje.</w:t>
            </w:r>
          </w:p>
        </w:tc>
        <w:tc>
          <w:tcPr>
            <w:tcW w:w="5029" w:type="dxa"/>
            <w:shd w:val="clear" w:color="auto" w:fill="auto"/>
          </w:tcPr>
          <w:p w14:paraId="1BF00B75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62F43608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32A63090" w14:textId="77777777" w:rsidTr="003B7D5E">
        <w:tc>
          <w:tcPr>
            <w:tcW w:w="496" w:type="dxa"/>
            <w:shd w:val="clear" w:color="auto" w:fill="auto"/>
          </w:tcPr>
          <w:p w14:paraId="513FDE2A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5451" w:type="dxa"/>
            <w:shd w:val="clear" w:color="auto" w:fill="auto"/>
          </w:tcPr>
          <w:p w14:paraId="1A3ACD1F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 xml:space="preserve">Dnevno vzdrževanje mora biti </w:t>
            </w:r>
            <w:r>
              <w:rPr>
                <w:rFonts w:asciiTheme="minorHAnsi" w:hAnsiTheme="minorHAnsi" w:cstheme="minorHAnsi"/>
              </w:rPr>
              <w:t>popolnoma avtomatsko ter ne sme presegati celoku</w:t>
            </w:r>
            <w:r>
              <w:rPr>
                <w:rFonts w:asciiTheme="minorHAnsi" w:eastAsia="SimSun" w:hAnsiTheme="minorHAnsi" w:cstheme="minorHAnsi"/>
                <w:lang w:eastAsia="zh-CN"/>
              </w:rPr>
              <w:t>p</w:t>
            </w:r>
            <w:r>
              <w:rPr>
                <w:rFonts w:asciiTheme="minorHAnsi" w:hAnsiTheme="minorHAnsi" w:cstheme="minorHAnsi"/>
              </w:rPr>
              <w:t>nega časa 15 minut.</w:t>
            </w:r>
          </w:p>
        </w:tc>
        <w:tc>
          <w:tcPr>
            <w:tcW w:w="5029" w:type="dxa"/>
            <w:shd w:val="clear" w:color="auto" w:fill="auto"/>
          </w:tcPr>
          <w:p w14:paraId="5CDBEC43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7C03A38C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437FAB0F" w14:textId="77777777" w:rsidTr="003B7D5E">
        <w:tc>
          <w:tcPr>
            <w:tcW w:w="496" w:type="dxa"/>
            <w:shd w:val="clear" w:color="auto" w:fill="auto"/>
          </w:tcPr>
          <w:p w14:paraId="2CA1E426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5451" w:type="dxa"/>
            <w:shd w:val="clear" w:color="auto" w:fill="auto"/>
          </w:tcPr>
          <w:p w14:paraId="59BA457E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V ponudbo mora biti vključena </w:t>
            </w:r>
            <w:r>
              <w:rPr>
                <w:rFonts w:asciiTheme="minorHAnsi" w:hAnsiTheme="minorHAnsi" w:cstheme="minorHAnsi"/>
              </w:rPr>
              <w:t xml:space="preserve"> UPS enota</w:t>
            </w:r>
          </w:p>
        </w:tc>
        <w:tc>
          <w:tcPr>
            <w:tcW w:w="5029" w:type="dxa"/>
            <w:shd w:val="clear" w:color="auto" w:fill="auto"/>
          </w:tcPr>
          <w:p w14:paraId="5A08DBBF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20E31A96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21ABE738" w14:textId="77777777" w:rsidTr="003B7D5E">
        <w:tc>
          <w:tcPr>
            <w:tcW w:w="496" w:type="dxa"/>
            <w:shd w:val="clear" w:color="auto" w:fill="auto"/>
          </w:tcPr>
          <w:p w14:paraId="13D22BA1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5451" w:type="dxa"/>
            <w:shd w:val="clear" w:color="auto" w:fill="auto"/>
          </w:tcPr>
          <w:p w14:paraId="00E0766A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V ponudbo mora biti vključen sistem za pripravo demi vode, ki mora omogočati direktni priklop demineralizirane vode na analitski siste</w:t>
            </w:r>
            <w:r>
              <w:rPr>
                <w:rFonts w:asciiTheme="minorHAnsi" w:hAnsiTheme="minorHAnsi" w:cstheme="minorHAnsi"/>
                <w:color w:val="000000"/>
              </w:rPr>
              <w:t xml:space="preserve">m. Ponudba mora vsebovati 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lang w:eastAsia="sl-SI"/>
              </w:rPr>
              <w:t>postavitev in vzdrževanje sistema za pripravo vode za celotno pogodbeno obdobje.</w:t>
            </w:r>
          </w:p>
        </w:tc>
        <w:tc>
          <w:tcPr>
            <w:tcW w:w="5029" w:type="dxa"/>
            <w:shd w:val="clear" w:color="auto" w:fill="auto"/>
          </w:tcPr>
          <w:p w14:paraId="3E2B7974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24DF32C8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62E1C126" w14:textId="77777777" w:rsidTr="003B7D5E">
        <w:tc>
          <w:tcPr>
            <w:tcW w:w="496" w:type="dxa"/>
            <w:shd w:val="clear" w:color="auto" w:fill="auto"/>
          </w:tcPr>
          <w:p w14:paraId="5AD20A89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5451" w:type="dxa"/>
            <w:shd w:val="clear" w:color="auto" w:fill="auto"/>
          </w:tcPr>
          <w:p w14:paraId="46EB16A4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Ponudnik zagotovi brezplačno postavitev analiznega sistema, UPS enote in sistema za pripravo demi vode.</w:t>
            </w:r>
          </w:p>
        </w:tc>
        <w:tc>
          <w:tcPr>
            <w:tcW w:w="5029" w:type="dxa"/>
            <w:shd w:val="clear" w:color="auto" w:fill="auto"/>
          </w:tcPr>
          <w:p w14:paraId="43D0687F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2D459E97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244BB5A6" w14:textId="77777777" w:rsidTr="003B7D5E">
        <w:tc>
          <w:tcPr>
            <w:tcW w:w="496" w:type="dxa"/>
            <w:shd w:val="clear" w:color="auto" w:fill="auto"/>
          </w:tcPr>
          <w:p w14:paraId="09BBB4C9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30</w:t>
            </w:r>
          </w:p>
        </w:tc>
        <w:tc>
          <w:tcPr>
            <w:tcW w:w="5451" w:type="dxa"/>
            <w:shd w:val="clear" w:color="auto" w:fill="auto"/>
          </w:tcPr>
          <w:p w14:paraId="01133EAB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 xml:space="preserve">V ponudbo mora biti </w:t>
            </w:r>
            <w:r>
              <w:rPr>
                <w:rFonts w:asciiTheme="minorHAnsi" w:hAnsiTheme="minorHAnsi" w:cstheme="minorHAnsi"/>
              </w:rPr>
              <w:t>brezplačno vključen ves potreben materia za zagon analizatorja, šolanje laboratorijskega osebja in verifikacijo apliciranih laboratorijskih preiskav</w:t>
            </w:r>
          </w:p>
        </w:tc>
        <w:tc>
          <w:tcPr>
            <w:tcW w:w="5029" w:type="dxa"/>
            <w:shd w:val="clear" w:color="auto" w:fill="auto"/>
          </w:tcPr>
          <w:p w14:paraId="5A57C9B6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74E22FAB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5822BD2F" w14:textId="77777777" w:rsidTr="003B7D5E">
        <w:tc>
          <w:tcPr>
            <w:tcW w:w="496" w:type="dxa"/>
            <w:shd w:val="clear" w:color="auto" w:fill="auto"/>
          </w:tcPr>
          <w:p w14:paraId="078464F8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5451" w:type="dxa"/>
            <w:shd w:val="clear" w:color="auto" w:fill="auto"/>
          </w:tcPr>
          <w:p w14:paraId="7D223264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Ponudnik mora zagotoviti brezplačno potrebni material za verifikacijo metod in pripraviti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statistična poročila po priporočilih CLSI(The Clinical &amp; Laboratory Standards Institute) dokumenta EP09 za primerjavo analitičnih metod in določitev biasa.:</w:t>
            </w:r>
          </w:p>
          <w:p w14:paraId="23F41E4A" w14:textId="77777777" w:rsidR="00CF225C" w:rsidRDefault="0036675B">
            <w:pPr>
              <w:jc w:val="both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- pripraviti statistična poročila za primerjavo dveh metod, ki zajemajo najmanj analize kot so: lin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earna regresija, utežena linearna regresija, Passing Bablok,</w:t>
            </w:r>
          </w:p>
          <w:p w14:paraId="673ACF60" w14:textId="77777777" w:rsidR="00CF225C" w:rsidRDefault="0036675B">
            <w:pPr>
              <w:jc w:val="both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- določiti korelacijske koeficiente (Pearsonov, Spearmanov, Kendallov,</w:t>
            </w:r>
          </w:p>
          <w:p w14:paraId="5632958D" w14:textId="77777777" w:rsidR="00CF225C" w:rsidRDefault="0036675B">
            <w:pPr>
              <w:jc w:val="both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- določiti razlike (procentualne in absolutne) med metodama z Bland Altman,</w:t>
            </w:r>
          </w:p>
          <w:p w14:paraId="6DA02FD7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- pripraviti opisno statistiko analiziranih poda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tkov in grafični prikaz distibucije meritev (histograme)</w:t>
            </w:r>
          </w:p>
        </w:tc>
        <w:tc>
          <w:tcPr>
            <w:tcW w:w="5029" w:type="dxa"/>
            <w:shd w:val="clear" w:color="auto" w:fill="auto"/>
          </w:tcPr>
          <w:p w14:paraId="35584158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15CF98B9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3EF0656C" w14:textId="77777777" w:rsidTr="003B7D5E">
        <w:tc>
          <w:tcPr>
            <w:tcW w:w="496" w:type="dxa"/>
            <w:shd w:val="clear" w:color="auto" w:fill="auto"/>
          </w:tcPr>
          <w:p w14:paraId="47C094F5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5451" w:type="dxa"/>
            <w:shd w:val="clear" w:color="auto" w:fill="auto"/>
          </w:tcPr>
          <w:p w14:paraId="421F4F86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>
              <w:rPr>
                <w:rFonts w:asciiTheme="minorHAnsi" w:eastAsia="Calibri" w:hAnsiTheme="minorHAnsi" w:cstheme="minorHAnsi"/>
                <w:color w:val="000000"/>
                <w:lang w:eastAsia="zh-CN"/>
              </w:rPr>
              <w:t>Analitski sistem mora imeti CE oznako</w:t>
            </w:r>
          </w:p>
        </w:tc>
        <w:tc>
          <w:tcPr>
            <w:tcW w:w="5029" w:type="dxa"/>
            <w:shd w:val="clear" w:color="auto" w:fill="auto"/>
          </w:tcPr>
          <w:p w14:paraId="463A9D53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51B2443B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58A9A49F" w14:textId="77777777" w:rsidTr="003B7D5E">
        <w:tc>
          <w:tcPr>
            <w:tcW w:w="496" w:type="dxa"/>
            <w:shd w:val="clear" w:color="auto" w:fill="auto"/>
          </w:tcPr>
          <w:p w14:paraId="276FBFD8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5451" w:type="dxa"/>
            <w:shd w:val="clear" w:color="auto" w:fill="auto"/>
          </w:tcPr>
          <w:p w14:paraId="051F929F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Analitski sistem mora omogočiti oddaljen dostop za aplikativne potrebe</w:t>
            </w:r>
          </w:p>
        </w:tc>
        <w:tc>
          <w:tcPr>
            <w:tcW w:w="5029" w:type="dxa"/>
            <w:shd w:val="clear" w:color="auto" w:fill="auto"/>
          </w:tcPr>
          <w:p w14:paraId="27488660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2457D596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33E1CC58" w14:textId="77777777" w:rsidTr="003B7D5E">
        <w:tc>
          <w:tcPr>
            <w:tcW w:w="496" w:type="dxa"/>
            <w:shd w:val="clear" w:color="auto" w:fill="auto"/>
          </w:tcPr>
          <w:p w14:paraId="7F1D4C63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5451" w:type="dxa"/>
            <w:shd w:val="clear" w:color="auto" w:fill="auto"/>
          </w:tcPr>
          <w:p w14:paraId="22086FFF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>
              <w:rPr>
                <w:rFonts w:asciiTheme="minorHAnsi" w:eastAsia="Calibri" w:hAnsiTheme="minorHAnsi" w:cstheme="minorHAnsi"/>
                <w:color w:val="000000"/>
                <w:lang w:eastAsia="zh-CN"/>
              </w:rPr>
              <w:t xml:space="preserve">Analitski sistem mora omogočati uporabo dnevnih kontrol vsaj v dveh </w:t>
            </w:r>
            <w:r>
              <w:rPr>
                <w:rFonts w:asciiTheme="minorHAnsi" w:eastAsia="Calibri" w:hAnsiTheme="minorHAnsi" w:cstheme="minorHAnsi"/>
                <w:color w:val="000000"/>
                <w:lang w:eastAsia="zh-CN"/>
              </w:rPr>
              <w:t>nivojih za vsako metodo ter  spremljanje vrednosti kontrol z grafičnim in tabelaričnim prikazom z osnovnimi statističnimi podatki (srednja vrednost, standardna deviacija, koeficient variabilnosti)</w:t>
            </w:r>
          </w:p>
        </w:tc>
        <w:tc>
          <w:tcPr>
            <w:tcW w:w="5029" w:type="dxa"/>
            <w:shd w:val="clear" w:color="auto" w:fill="auto"/>
          </w:tcPr>
          <w:p w14:paraId="38BD5132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51E0B08C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1D8474F1" w14:textId="77777777" w:rsidTr="003B7D5E">
        <w:tc>
          <w:tcPr>
            <w:tcW w:w="496" w:type="dxa"/>
            <w:shd w:val="clear" w:color="auto" w:fill="auto"/>
          </w:tcPr>
          <w:p w14:paraId="78690B81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5451" w:type="dxa"/>
            <w:shd w:val="clear" w:color="auto" w:fill="auto"/>
          </w:tcPr>
          <w:p w14:paraId="70EB5543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V ponudbi mora biti vključena notranja kontrola kvali</w:t>
            </w:r>
            <w:r>
              <w:rPr>
                <w:rFonts w:asciiTheme="minorHAnsi" w:hAnsiTheme="minorHAnsi" w:cstheme="minorHAnsi"/>
                <w:color w:val="000000"/>
              </w:rPr>
              <w:t xml:space="preserve">tete, ki zadošča ISO 15189 in je proizvod </w:t>
            </w:r>
            <w:r>
              <w:rPr>
                <w:rFonts w:asciiTheme="minorHAnsi" w:eastAsia="SimSun" w:hAnsiTheme="minorHAnsi" w:cstheme="minorHAnsi"/>
                <w:color w:val="000000"/>
                <w:lang w:eastAsia="zh-CN"/>
              </w:rPr>
              <w:t>neodvisnega proizvajalca</w:t>
            </w:r>
          </w:p>
        </w:tc>
        <w:tc>
          <w:tcPr>
            <w:tcW w:w="5029" w:type="dxa"/>
            <w:shd w:val="clear" w:color="auto" w:fill="auto"/>
          </w:tcPr>
          <w:p w14:paraId="0F32DFDB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2DC2996B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F225C" w14:paraId="15D4C4F6" w14:textId="77777777" w:rsidTr="003B7D5E">
        <w:tc>
          <w:tcPr>
            <w:tcW w:w="496" w:type="dxa"/>
            <w:shd w:val="clear" w:color="auto" w:fill="auto"/>
          </w:tcPr>
          <w:p w14:paraId="7D86F792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5451" w:type="dxa"/>
            <w:shd w:val="clear" w:color="auto" w:fill="auto"/>
          </w:tcPr>
          <w:p w14:paraId="3DD49AD1" w14:textId="77777777" w:rsidR="00CF225C" w:rsidRDefault="0036675B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Analizni sistem naj omogoča samodejni prenos rezultatov dnevnih kontrol na mrežno aplikacijo, ki omogoča med-laboratorijsko primerjavo kakovosti dnevnih kontrol</w:t>
            </w:r>
          </w:p>
        </w:tc>
        <w:tc>
          <w:tcPr>
            <w:tcW w:w="5029" w:type="dxa"/>
            <w:shd w:val="clear" w:color="auto" w:fill="auto"/>
          </w:tcPr>
          <w:p w14:paraId="20442AA8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4" w:type="dxa"/>
            <w:shd w:val="clear" w:color="auto" w:fill="auto"/>
          </w:tcPr>
          <w:p w14:paraId="722523A1" w14:textId="77777777" w:rsidR="00CF225C" w:rsidRDefault="00CF225C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</w:tbl>
    <w:p w14:paraId="1EF6D2D4" w14:textId="77777777" w:rsidR="00CF225C" w:rsidRDefault="00CF225C">
      <w:pPr>
        <w:pStyle w:val="Header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</w:rPr>
      </w:pPr>
    </w:p>
    <w:p w14:paraId="7E02C57C" w14:textId="77777777" w:rsidR="00CF225C" w:rsidRDefault="00CF225C">
      <w:pPr>
        <w:pStyle w:val="Header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b/>
        </w:rPr>
      </w:pPr>
    </w:p>
    <w:p w14:paraId="4B5F2846" w14:textId="77777777" w:rsidR="00CF225C" w:rsidRDefault="0036675B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Priloga:</w:t>
      </w:r>
      <w:r>
        <w:rPr>
          <w:rFonts w:asciiTheme="minorHAnsi" w:hAnsiTheme="minorHAnsi" w:cstheme="minorHAnsi"/>
        </w:rPr>
        <w:tab/>
        <w:t>Dokazila</w:t>
      </w:r>
    </w:p>
    <w:p w14:paraId="1C98D395" w14:textId="77777777" w:rsidR="00CF225C" w:rsidRDefault="00CF225C">
      <w:pPr>
        <w:spacing w:line="276" w:lineRule="auto"/>
        <w:jc w:val="both"/>
        <w:rPr>
          <w:rFonts w:asciiTheme="minorHAnsi" w:hAnsiTheme="minorHAnsi" w:cstheme="minorHAnsi"/>
        </w:rPr>
      </w:pPr>
    </w:p>
    <w:p w14:paraId="2DF9BFEA" w14:textId="77777777" w:rsidR="00CF225C" w:rsidRDefault="00CF225C">
      <w:pPr>
        <w:spacing w:line="276" w:lineRule="auto"/>
        <w:jc w:val="both"/>
        <w:rPr>
          <w:rFonts w:asciiTheme="minorHAnsi" w:hAnsiTheme="minorHAnsi" w:cstheme="minorHAnsi"/>
          <w:iCs/>
          <w:sz w:val="18"/>
          <w:szCs w:val="18"/>
        </w:rPr>
      </w:pPr>
    </w:p>
    <w:p w14:paraId="6144441B" w14:textId="77777777" w:rsidR="00CF225C" w:rsidRDefault="00CF225C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F5A052" w14:textId="77777777" w:rsidR="00CF225C" w:rsidRDefault="00CF225C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4141B77" w14:textId="77777777" w:rsidR="00CF225C" w:rsidRDefault="0036675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426E8E7B" w14:textId="77777777" w:rsidR="00CF225C" w:rsidRDefault="00CF225C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65CCE0A" w14:textId="77777777" w:rsidR="00CF225C" w:rsidRDefault="0036675B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515928CD" w14:textId="77777777" w:rsidR="00CF225C" w:rsidRDefault="00CF225C">
      <w:pPr>
        <w:spacing w:line="276" w:lineRule="auto"/>
        <w:jc w:val="both"/>
        <w:rPr>
          <w:rFonts w:asciiTheme="minorHAnsi" w:hAnsiTheme="minorHAnsi" w:cstheme="minorHAnsi"/>
        </w:rPr>
      </w:pPr>
    </w:p>
    <w:p w14:paraId="647F3223" w14:textId="77777777" w:rsidR="00CF225C" w:rsidRDefault="0036675B">
      <w:pPr>
        <w:spacing w:line="276" w:lineRule="auto"/>
        <w:jc w:val="both"/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</w:t>
      </w:r>
    </w:p>
    <w:sectPr w:rsidR="00CF225C">
      <w:headerReference w:type="default" r:id="rId10"/>
      <w:footerReference w:type="default" r:id="rId11"/>
      <w:headerReference w:type="first" r:id="rId12"/>
      <w:pgSz w:w="16838" w:h="11906" w:orient="landscape"/>
      <w:pgMar w:top="1418" w:right="1134" w:bottom="1418" w:left="1134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849D2" w14:textId="77777777" w:rsidR="0036675B" w:rsidRDefault="0036675B">
      <w:r>
        <w:separator/>
      </w:r>
    </w:p>
  </w:endnote>
  <w:endnote w:type="continuationSeparator" w:id="0">
    <w:p w14:paraId="6875D662" w14:textId="77777777" w:rsidR="0036675B" w:rsidRDefault="00366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EE"/>
    <w:family w:val="roman"/>
    <w:pitch w:val="variable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9236280"/>
      <w:docPartObj>
        <w:docPartGallery w:val="Page Numbers (Bottom of Page)"/>
        <w:docPartUnique/>
      </w:docPartObj>
    </w:sdtPr>
    <w:sdtEndPr/>
    <w:sdtContent>
      <w:p w14:paraId="2613B430" w14:textId="77777777" w:rsidR="00CF225C" w:rsidRDefault="0036675B">
        <w:pPr>
          <w:pStyle w:val="Footer"/>
          <w:jc w:val="right"/>
        </w:pPr>
        <w:r>
          <w:rPr>
            <w:rFonts w:asciiTheme="minorHAnsi" w:hAnsiTheme="minorHAnsi" w:cstheme="minorHAnsi"/>
            <w:sz w:val="18"/>
            <w:szCs w:val="18"/>
          </w:rPr>
          <w:fldChar w:fldCharType="begin"/>
        </w:r>
        <w:r>
          <w:rPr>
            <w:rFonts w:ascii="Calibri" w:hAnsi="Calibri" w:cs="Calibri"/>
            <w:sz w:val="18"/>
            <w:szCs w:val="18"/>
          </w:rPr>
          <w:instrText>PAGE</w:instrText>
        </w:r>
        <w:r>
          <w:rPr>
            <w:rFonts w:ascii="Calibri" w:hAnsi="Calibri" w:cs="Calibri"/>
            <w:sz w:val="18"/>
            <w:szCs w:val="18"/>
          </w:rPr>
          <w:fldChar w:fldCharType="separate"/>
        </w:r>
        <w:r>
          <w:rPr>
            <w:rFonts w:ascii="Calibri" w:hAnsi="Calibri" w:cs="Calibri"/>
            <w:sz w:val="18"/>
            <w:szCs w:val="18"/>
          </w:rPr>
          <w:t>1</w:t>
        </w:r>
        <w:r>
          <w:rPr>
            <w:rFonts w:ascii="Calibri" w:hAnsi="Calibri" w:cs="Calibri"/>
            <w:sz w:val="18"/>
            <w:szCs w:val="18"/>
          </w:rPr>
          <w:fldChar w:fldCharType="end"/>
        </w:r>
      </w:p>
    </w:sdtContent>
  </w:sdt>
  <w:p w14:paraId="5CF4526D" w14:textId="77777777" w:rsidR="00CF225C" w:rsidRDefault="00CF225C">
    <w:pPr>
      <w:pStyle w:val="Footer"/>
      <w:jc w:val="center"/>
      <w:rPr>
        <w:color w:val="006A8E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4D39A" w14:textId="77777777" w:rsidR="00CF225C" w:rsidRDefault="0036675B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6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2FCEB" w14:textId="77777777" w:rsidR="0036675B" w:rsidRDefault="0036675B">
      <w:r>
        <w:separator/>
      </w:r>
    </w:p>
  </w:footnote>
  <w:footnote w:type="continuationSeparator" w:id="0">
    <w:p w14:paraId="2E616A88" w14:textId="77777777" w:rsidR="0036675B" w:rsidRDefault="0036675B">
      <w:r>
        <w:continuationSeparator/>
      </w:r>
    </w:p>
  </w:footnote>
  <w:footnote w:id="1">
    <w:p w14:paraId="52494F4F" w14:textId="77777777" w:rsidR="00CF225C" w:rsidRDefault="0036675B">
      <w:pPr>
        <w:pStyle w:val="FootnoteText"/>
      </w:pPr>
      <w:r>
        <w:rPr>
          <w:rStyle w:val="Znakisprotnihopomb"/>
        </w:rPr>
        <w:footnoteRef/>
      </w:r>
      <w:r>
        <w:rPr>
          <w:rFonts w:asciiTheme="minorHAnsi" w:hAnsiTheme="minorHAnsi" w:cstheme="minorHAnsi"/>
          <w:szCs w:val="18"/>
        </w:rPr>
        <w:t xml:space="preserve"> </w:t>
      </w:r>
      <w:r>
        <w:rPr>
          <w:rFonts w:asciiTheme="minorHAnsi" w:hAnsiTheme="minorHAnsi" w:cstheme="minorHAnsi"/>
          <w:i w:val="0"/>
          <w:szCs w:val="18"/>
        </w:rPr>
        <w:t>Ponudnik mora natančno navesti dejanske tehnične specifikacije ponujene opreme po vseh zahtevah.</w:t>
      </w:r>
    </w:p>
  </w:footnote>
  <w:footnote w:id="2">
    <w:p w14:paraId="61747897" w14:textId="77777777" w:rsidR="00CF225C" w:rsidRDefault="0036675B">
      <w:pPr>
        <w:pStyle w:val="FootnoteText"/>
      </w:pPr>
      <w:r>
        <w:rPr>
          <w:rStyle w:val="Znakisprotnihopomb"/>
        </w:rPr>
        <w:footnoteRef/>
      </w:r>
      <w:r>
        <w:rPr>
          <w:rFonts w:asciiTheme="minorHAnsi" w:hAnsiTheme="minorHAnsi" w:cstheme="minorHAnsi"/>
          <w:szCs w:val="18"/>
        </w:rPr>
        <w:t xml:space="preserve"> </w:t>
      </w:r>
      <w:r>
        <w:rPr>
          <w:rFonts w:asciiTheme="minorHAnsi" w:hAnsiTheme="minorHAnsi" w:cstheme="minorHAnsi"/>
          <w:i w:val="0"/>
          <w:szCs w:val="18"/>
        </w:rPr>
        <w:t>Ponudnik mora navesti ime priloženega kataloga ali prospekta proizvajalca opreme in številko strani z navedbo relevantne tehničn</w:t>
      </w:r>
      <w:r>
        <w:rPr>
          <w:rFonts w:asciiTheme="minorHAnsi" w:hAnsiTheme="minorHAnsi" w:cstheme="minorHAnsi"/>
          <w:i w:val="0"/>
          <w:szCs w:val="18"/>
        </w:rPr>
        <w:t>e specifikacije. Izjemoma lahko ponudnik navede tudi povezavo do spletne stani proizvajalca opreme, na kateri je navedba relevantne tehnične specifikacije. Če navede povezave do spletnega dokumenta, mora ponudnik navesti številko strani z navedbo relevantn</w:t>
      </w:r>
      <w:r>
        <w:rPr>
          <w:rFonts w:asciiTheme="minorHAnsi" w:hAnsiTheme="minorHAnsi" w:cstheme="minorHAnsi"/>
          <w:i w:val="0"/>
          <w:szCs w:val="18"/>
        </w:rPr>
        <w:t>e tehnične specifikacije.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6BD46" w14:textId="77777777" w:rsidR="00CF225C" w:rsidRDefault="0036675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ZDRAVSTVENI DOM PIRAN</w:t>
    </w:r>
  </w:p>
  <w:p w14:paraId="0DB819E6" w14:textId="77777777" w:rsidR="00CF225C" w:rsidRDefault="0036675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Cesta solinarjev 1</w:t>
    </w:r>
  </w:p>
  <w:p w14:paraId="6AC63C95" w14:textId="77777777" w:rsidR="00CF225C" w:rsidRDefault="0036675B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6320 Portorož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B16B7" w14:textId="77777777" w:rsidR="00CF225C" w:rsidRDefault="00CF22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99AB7" w14:textId="77777777" w:rsidR="00CF225C" w:rsidRDefault="00CF225C">
    <w:pPr>
      <w:pStyle w:val="Header"/>
      <w:tabs>
        <w:tab w:val="clear" w:pos="9072"/>
        <w:tab w:val="left" w:pos="3823"/>
        <w:tab w:val="left" w:pos="5340"/>
      </w:tabs>
      <w:jc w:val="center"/>
      <w:rPr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43ABD"/>
    <w:multiLevelType w:val="multilevel"/>
    <w:tmpl w:val="50E61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1032393"/>
    <w:multiLevelType w:val="multilevel"/>
    <w:tmpl w:val="F932A0A0"/>
    <w:lvl w:ilvl="0">
      <w:start w:val="1"/>
      <w:numFmt w:val="bullet"/>
      <w:lvlText w:val=""/>
      <w:lvlJc w:val="left"/>
      <w:pPr>
        <w:ind w:left="114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5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A8E5ECA"/>
    <w:multiLevelType w:val="multilevel"/>
    <w:tmpl w:val="4CF6E9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B510E79"/>
    <w:multiLevelType w:val="multilevel"/>
    <w:tmpl w:val="F16E88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F6C54"/>
    <w:multiLevelType w:val="multilevel"/>
    <w:tmpl w:val="247C26F6"/>
    <w:lvl w:ilvl="0">
      <w:start w:val="7"/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4C74FF2"/>
    <w:multiLevelType w:val="multilevel"/>
    <w:tmpl w:val="579C639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25C"/>
    <w:rsid w:val="0036675B"/>
    <w:rsid w:val="003B7D5E"/>
    <w:rsid w:val="00C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CB90646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qFormat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CB486D"/>
    <w:rPr>
      <w:rFonts w:ascii="Arial" w:eastAsia="Calibri" w:hAnsi="Arial"/>
      <w:i/>
      <w:sz w:val="18"/>
      <w:lang w:eastAsia="en-US"/>
    </w:rPr>
  </w:style>
  <w:style w:type="character" w:customStyle="1" w:styleId="Sidrosprotneopombe">
    <w:name w:val="Sidro sprotne opombe"/>
    <w:rPr>
      <w:rFonts w:ascii="Arial" w:hAnsi="Arial"/>
      <w:i/>
      <w:sz w:val="18"/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CB486D"/>
    <w:rPr>
      <w:rFonts w:ascii="Arial" w:hAnsi="Arial"/>
      <w:i/>
      <w:sz w:val="18"/>
      <w:vertAlign w:val="superscript"/>
    </w:rPr>
  </w:style>
  <w:style w:type="character" w:customStyle="1" w:styleId="red">
    <w:name w:val="red"/>
    <w:basedOn w:val="DefaultParagraphFont"/>
    <w:qFormat/>
    <w:rsid w:val="00CB486D"/>
  </w:style>
  <w:style w:type="character" w:customStyle="1" w:styleId="Znakisprotnihopomb">
    <w:name w:val="Znaki sprotnih opomb"/>
    <w:qFormat/>
  </w:style>
  <w:style w:type="character" w:customStyle="1" w:styleId="Sidrokonneopombe">
    <w:name w:val="Sidro končne opombe"/>
    <w:rPr>
      <w:vertAlign w:val="superscript"/>
    </w:rPr>
  </w:style>
  <w:style w:type="character" w:customStyle="1" w:styleId="Znakikonnihopomb">
    <w:name w:val="Znaki končnih opomb"/>
    <w:qFormat/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unhideWhenUsed/>
    <w:rsid w:val="00CB486D"/>
    <w:pPr>
      <w:jc w:val="both"/>
    </w:pPr>
    <w:rPr>
      <w:rFonts w:eastAsia="Calibri" w:cs="Times New Roman"/>
      <w:i/>
      <w:sz w:val="18"/>
      <w:szCs w:val="20"/>
    </w:rPr>
  </w:style>
  <w:style w:type="table" w:styleId="TableGrid">
    <w:name w:val="Table Grid"/>
    <w:basedOn w:val="TableNormal"/>
    <w:uiPriority w:val="39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3AD5B2-FFE5-CF41-8589-8200BA0D4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1295</Words>
  <Characters>7388</Characters>
  <Application>Microsoft Office Word</Application>
  <DocSecurity>0</DocSecurity>
  <Lines>61</Lines>
  <Paragraphs>17</Paragraphs>
  <ScaleCrop>false</ScaleCrop>
  <Company/>
  <LinksUpToDate>false</LinksUpToDate>
  <CharactersWithSpaces>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3</cp:revision>
  <dcterms:created xsi:type="dcterms:W3CDTF">2021-05-27T09:33:00Z</dcterms:created>
  <dcterms:modified xsi:type="dcterms:W3CDTF">2021-10-15T06:51:00Z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